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Verdana" w:hAnsi="Verdana"/>
          <w:b/>
          <w:b/>
          <w:bCs/>
          <w:i/>
          <w:i/>
          <w:iCs/>
          <w:outline w:val="false"/>
          <w:sz w:val="32"/>
          <w:szCs w:val="32"/>
        </w:rPr>
      </w:pPr>
      <w:r>
        <w:rPr>
          <w:rFonts w:ascii="Verdana" w:hAnsi="Verdana"/>
          <w:b/>
          <w:bCs/>
          <w:i/>
          <w:iCs/>
          <w:outline w:val="false"/>
          <w:sz w:val="32"/>
          <w:szCs w:val="32"/>
        </w:rPr>
        <w:t xml:space="preserve">NOTIZIE  FLASH  DAL  MONDO  </w:t>
      </w:r>
    </w:p>
    <w:p>
      <w:pPr>
        <w:pStyle w:val="Normal"/>
        <w:bidi w:val="0"/>
        <w:jc w:val="center"/>
        <w:rPr>
          <w:rFonts w:ascii="Verdana" w:hAnsi="Verdana"/>
          <w:b/>
          <w:b/>
          <w:bCs/>
          <w:i/>
          <w:i/>
          <w:iCs/>
          <w:outline w:val="false"/>
          <w:sz w:val="28"/>
          <w:szCs w:val="28"/>
        </w:rPr>
      </w:pPr>
      <w:r>
        <w:rPr>
          <w:rFonts w:ascii="Verdana" w:hAnsi="Verdana"/>
          <w:b/>
          <w:bCs/>
          <w:i/>
          <w:iCs/>
          <w:outline w:val="false"/>
          <w:sz w:val="28"/>
          <w:szCs w:val="28"/>
        </w:rPr>
        <w:t>a cura del Gruppo di Animazione Missionaria di Scannabue</w:t>
      </w:r>
    </w:p>
    <w:p>
      <w:pPr>
        <w:pStyle w:val="Normal"/>
        <w:bidi w:val="0"/>
        <w:jc w:val="both"/>
        <w:rPr>
          <w:rFonts w:ascii="Verdana" w:hAnsi="Verdana"/>
          <w:b/>
          <w:b/>
          <w:bCs/>
          <w:i/>
          <w:i/>
          <w:iCs/>
          <w:outline w:val="false"/>
          <w:sz w:val="22"/>
          <w:szCs w:val="22"/>
        </w:rPr>
      </w:pPr>
      <w:r>
        <w:rPr>
          <w:rFonts w:ascii="Verdana" w:hAnsi="Verdana"/>
          <w:b/>
          <w:bCs/>
          <w:i/>
          <w:iCs/>
          <w:outline w:val="false"/>
          <w:sz w:val="22"/>
          <w:szCs w:val="22"/>
        </w:rPr>
        <w:t xml:space="preserve"> </w:t>
      </w:r>
    </w:p>
    <w:p>
      <w:pPr>
        <w:pStyle w:val="Normal"/>
        <w:bidi w:val="0"/>
        <w:jc w:val="center"/>
        <w:rPr>
          <w:rFonts w:ascii="Verdana" w:hAnsi="Verdana"/>
          <w:b/>
          <w:b/>
          <w:bCs/>
          <w:i w:val="false"/>
          <w:i w:val="false"/>
          <w:iCs w:val="false"/>
          <w:outline w:val="false"/>
          <w:sz w:val="22"/>
          <w:szCs w:val="22"/>
        </w:rPr>
      </w:pPr>
      <w:r>
        <w:rPr>
          <w:rFonts w:ascii="Verdana" w:hAnsi="Verdana"/>
          <w:b/>
          <w:bCs/>
          <w:i w:val="false"/>
          <w:iCs w:val="false"/>
          <w:outline w:val="false"/>
          <w:sz w:val="22"/>
          <w:szCs w:val="22"/>
        </w:rPr>
      </w:r>
    </w:p>
    <w:p>
      <w:pPr>
        <w:pStyle w:val="Normal"/>
        <w:bidi w:val="0"/>
        <w:jc w:val="center"/>
        <w:rPr>
          <w:rFonts w:ascii="Verdana" w:hAnsi="Verdana"/>
          <w:b/>
          <w:b/>
          <w:bCs/>
          <w:i w:val="false"/>
          <w:i w:val="false"/>
          <w:iCs w:val="false"/>
          <w:outline w:val="false"/>
          <w:sz w:val="22"/>
          <w:szCs w:val="22"/>
        </w:rPr>
      </w:pPr>
      <w:r>
        <w:rPr>
          <w:rFonts w:ascii="Verdana" w:hAnsi="Verdana"/>
          <w:b/>
          <w:bCs/>
          <w:i w:val="false"/>
          <w:iCs w:val="false"/>
          <w:outline w:val="false"/>
          <w:sz w:val="22"/>
          <w:szCs w:val="22"/>
        </w:rPr>
      </w:r>
    </w:p>
    <w:p>
      <w:pPr>
        <w:pStyle w:val="Normal"/>
        <w:bidi w:val="0"/>
        <w:jc w:val="center"/>
        <w:rPr>
          <w:rFonts w:ascii="Verdana" w:hAnsi="Verdana"/>
          <w:b/>
          <w:b/>
          <w:bCs/>
          <w:i w:val="false"/>
          <w:i w:val="false"/>
          <w:iCs w:val="false"/>
          <w:outline w:val="false"/>
          <w:sz w:val="28"/>
          <w:szCs w:val="28"/>
        </w:rPr>
      </w:pPr>
      <w:r>
        <w:rPr>
          <w:rFonts w:ascii="Verdana" w:hAnsi="Verdana"/>
          <w:b/>
          <w:bCs/>
          <w:i w:val="false"/>
          <w:iCs w:val="false"/>
          <w:outline w:val="false"/>
          <w:sz w:val="28"/>
          <w:szCs w:val="28"/>
        </w:rPr>
        <w:t>EGITTO: UNA CHIESA PER OGNI MOSCHEA</w:t>
      </w:r>
    </w:p>
    <w:p>
      <w:pPr>
        <w:pStyle w:val="Normal"/>
        <w:bidi w:val="0"/>
        <w:jc w:val="center"/>
        <w:rPr>
          <w:rFonts w:ascii="Verdana" w:hAnsi="Verdana"/>
          <w:b/>
          <w:b/>
          <w:bCs/>
          <w:i w:val="false"/>
          <w:i w:val="false"/>
          <w:iCs w:val="false"/>
          <w:outline w:val="false"/>
          <w:sz w:val="22"/>
          <w:szCs w:val="22"/>
        </w:rPr>
      </w:pPr>
      <w:r>
        <w:rPr>
          <w:rFonts w:ascii="Verdana" w:hAnsi="Verdana"/>
          <w:b/>
          <w:bCs/>
          <w:i w:val="false"/>
          <w:iCs w:val="false"/>
          <w:outline w:val="false"/>
          <w:sz w:val="22"/>
          <w:szCs w:val="22"/>
        </w:rPr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/>
          <w:i/>
          <w:iCs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/>
          <w:iCs/>
          <w:outline w:val="false"/>
          <w:sz w:val="24"/>
          <w:szCs w:val="24"/>
        </w:rPr>
        <w:t>È quanto dichiarato dal Presidente egiziano in una riunione di urbanisti del suo Paese.</w:t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/>
          <w:i/>
          <w:iCs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/>
          <w:iCs/>
          <w:outline w:val="false"/>
          <w:sz w:val="24"/>
          <w:szCs w:val="24"/>
        </w:rPr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 xml:space="preserve">Il Presidente egiziano Abdel Fattah, in una recente riunione tenuta con i membri del governo competenti i piani di urbanizzazione messi in campo ha sintetizzato: </w:t>
      </w:r>
      <w:r>
        <w:rPr>
          <w:rFonts w:ascii="Verdana" w:hAnsi="Verdana"/>
          <w:b w:val="false"/>
          <w:bCs w:val="false"/>
          <w:i/>
          <w:iCs/>
          <w:outline w:val="false"/>
          <w:sz w:val="24"/>
          <w:szCs w:val="24"/>
        </w:rPr>
        <w:t>“Dove c'è una moschea deve esserci anche una chiesa. E se la chiesa da costruire verrà frequentata anche soltanto da 100 persone, bisogna costruirla ugualmente. Così nessuno dovrà riunirsi in un appartamento e presentare quell'abitazione come una chiesa”.</w:t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/>
          <w:i/>
          <w:iCs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/>
          <w:iCs/>
          <w:outline w:val="false"/>
          <w:sz w:val="24"/>
          <w:szCs w:val="24"/>
        </w:rPr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Fino al 2016, la costruzione di nuovi luoghi di culto cristiani era ancora condizionata e di fatto ostacolata dalle cosiddette “10 regole” aggiunte nel 1934 che vietavano tra l'altro di costruire nuove chiese vicino alle scuole, ai canali, agli edifici governativi, alle ferrovie e alle aree residenziali. L'applicazione rigida di quelle regole aveva impedito la costruzione di chiese in città e paesi abitati dai cristiani, soprattutto nelle aree rurali dell'Alto Egitto.</w:t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La nuova legge sui luoghi di culto, ratificata dal Parlamento egiziano nell'agosto 2016, ha consentito di avviare un processo di “legalizzazione” dei luoghi di culto cristiani costruiti in passato senza i permessi richiesti. Finora sono 1.958 le chiese, i beni di immobili di pertinenza ecclesiastica e gli edifici di servizio ausiliari, costruiti in passato, che sono stati condonati o “regolarizzati” dopo una attenta verifica di rispondenza agli standard stabiliti dalla nuova legge.</w:t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L'intento dichiarato nel programma di sviluppo urbanistico avviato in Egitto è di garantire a tutti i cittadini, musulmani e cristiani, la possibilità di prendere parte a celebrazioni, riti e attività della propria comunità di fede.</w:t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Un buon cammino che fa molto sperare!</w:t>
      </w:r>
    </w:p>
    <w:p>
      <w:pPr>
        <w:pStyle w:val="Normal"/>
        <w:bidi w:val="0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>
          <w:rFonts w:ascii="Verdana" w:hAnsi="Verdana"/>
          <w:b/>
          <w:bCs/>
          <w:i/>
          <w:iCs/>
          <w:outline w:val="false"/>
          <w:sz w:val="24"/>
          <w:szCs w:val="24"/>
        </w:rPr>
        <w:t>Agenzia Fides – marzo 2022</w:t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>
          <w:rFonts w:ascii="Verdana" w:hAnsi="Verdana"/>
          <w:b/>
          <w:bCs/>
          <w:i/>
          <w:iCs/>
          <w:outline w:val="false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Verdana" w:ascii="Verdana" w:hAnsi="Verdana"/>
          <w:b/>
          <w:bCs/>
          <w:i w:val="false"/>
          <w:iCs w:val="false"/>
          <w:outline w:val="false"/>
          <w:sz w:val="28"/>
          <w:szCs w:val="28"/>
        </w:rPr>
        <w:t>KENYA: PRIMI PASSI VERSO UN AMBIENTE LIBERO DALLA  PLASTICA</w:t>
      </w:r>
    </w:p>
    <w:p>
      <w:pPr>
        <w:pStyle w:val="Normal"/>
        <w:jc w:val="center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>
          <w:rFonts w:cs="Verdana" w:ascii="Verdana" w:hAnsi="Verdana"/>
          <w:b/>
          <w:bCs/>
          <w:i w:val="false"/>
          <w:iCs w:val="false"/>
          <w:outline w:val="false"/>
          <w:sz w:val="22"/>
          <w:szCs w:val="22"/>
        </w:rPr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cs="Verdana"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 xml:space="preserve">Si è conclusa, i primi di marzo, a Nairobi la quinta Assemblea sull'ambiente delle Nazioni Unite (Unea). 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cs="Verdana"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Numerosi sono stati i problemi discussi, ma quello sul quale vi è stata una maggiore attenzione riguarda l'inquinamento ambientale provocato dalla plastica che ormai non solo deturpa tutti gli ambienti e gli angoli del pianeta, ma è anche penetrata nell'ecosistema terrestre tanto da inquinare la nostra acqua e il nostro cibo, con conseguenze a medio e lungo termine per ora imprevedibili, ma molto probabilmente gravi.</w:t>
      </w:r>
    </w:p>
    <w:p>
      <w:pPr>
        <w:pStyle w:val="Normal"/>
        <w:jc w:val="left"/>
        <w:rPr>
          <w:rFonts w:ascii="Verdana" w:hAnsi="Verdana" w:cs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cs="Verdana"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Ogni anno si producono 400 milioni di tonnellate di nuova plastica e si prevede che la produzione potrebbe raddoppiare entro il 2040. L'assemblea ha deciso di formare un comitato governativo per mettere a punto, entro il 2024, un accordo internazionale legalmente vincolante che preveda anche una gestione efficace delle sostanze chimiche e dei rifiuti, causati dall'uso della plastica, per evitare questo inquinamento, ulteriormente aggravato dalla pandemia che ha portato all'uso intensivo di mascherine e oggetti di plastica usa e getta e dei disinfettanti chimici.</w:t>
      </w:r>
    </w:p>
    <w:p>
      <w:pPr>
        <w:pStyle w:val="Normal"/>
        <w:jc w:val="left"/>
        <w:rPr>
          <w:rFonts w:ascii="Verdana" w:hAnsi="Verdana" w:cs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cs="Verdana"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L'assemblea ha approvato complessivamente 14 risoluzioni che impegnano la comun ità internazionale ad una governance più responsabile ed efficiente dei problemi che riguardano l'ambiente, salvaguardando anche i diritti delle comunità e dei popoli indigeni. Un lavoro a tutto campo verso il raggiungimento degli obiettivi di sviluppo sostenibile dell'agenda 2030 delle Nazioni Unite.</w:t>
      </w:r>
    </w:p>
    <w:p>
      <w:pPr>
        <w:pStyle w:val="Normal"/>
        <w:jc w:val="left"/>
        <w:rPr>
          <w:rFonts w:cs="Verdana"/>
          <w:b w:val="false"/>
          <w:b w:val="false"/>
          <w:bCs w:val="false"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cs="Verdana" w:ascii="Verdana" w:hAnsi="Verdana"/>
          <w:b/>
          <w:bCs/>
          <w:i/>
          <w:iCs/>
          <w:outline w:val="false"/>
          <w:sz w:val="24"/>
          <w:szCs w:val="24"/>
        </w:rPr>
        <w:t>Nigrizia – marzo 2022</w:t>
      </w:r>
    </w:p>
    <w:p>
      <w:pPr>
        <w:pStyle w:val="Normal"/>
        <w:bidi w:val="0"/>
        <w:jc w:val="left"/>
        <w:rPr>
          <w:rFonts w:ascii="Verdana" w:hAnsi="Verdana"/>
          <w:sz w:val="24"/>
          <w:szCs w:val="24"/>
        </w:rPr>
      </w:pPr>
      <w:r>
        <w:rPr>
          <w:rFonts w:cs="Verdana" w:ascii="Verdana" w:hAnsi="Verdana"/>
          <w:b/>
          <w:bCs/>
          <w:i w:val="false"/>
          <w:iCs w:val="false"/>
          <w:outline w:val="false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jc w:val="left"/>
        <w:rPr>
          <w:rFonts w:cs="Verdana"/>
          <w:b/>
          <w:b/>
          <w:bCs/>
          <w:i w:val="false"/>
          <w:i w:val="false"/>
          <w:iCs w:val="false"/>
          <w:outline w:val="fals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center"/>
        <w:rPr>
          <w:rFonts w:ascii="Verdana" w:hAnsi="Verdana"/>
          <w:b/>
          <w:b/>
          <w:bCs/>
          <w:i w:val="false"/>
          <w:i w:val="false"/>
          <w:iCs w:val="false"/>
          <w:outline w:val="false"/>
          <w:sz w:val="28"/>
          <w:szCs w:val="28"/>
        </w:rPr>
      </w:pPr>
      <w:r>
        <w:rPr>
          <w:rFonts w:ascii="Verdana" w:hAnsi="Verdana"/>
          <w:b/>
          <w:bCs/>
          <w:i w:val="false"/>
          <w:iCs w:val="false"/>
          <w:outline w:val="false"/>
          <w:sz w:val="28"/>
          <w:szCs w:val="28"/>
        </w:rPr>
        <w:t>NELLE ICONE DI FATHER GIULIANI GES</w:t>
      </w:r>
      <w:r>
        <w:rPr>
          <w:rFonts w:ascii="Verdana" w:hAnsi="Verdana"/>
          <w:b/>
          <w:bCs/>
          <w:i w:val="false"/>
          <w:iCs w:val="false"/>
          <w:outline w:val="false"/>
          <w:sz w:val="28"/>
          <w:szCs w:val="28"/>
        </w:rPr>
        <w:t xml:space="preserve">Ù È </w:t>
      </w:r>
      <w:r>
        <w:rPr>
          <w:rFonts w:ascii="Verdana" w:hAnsi="Verdana"/>
          <w:b/>
          <w:bCs/>
          <w:i w:val="false"/>
          <w:iCs w:val="false"/>
          <w:outline w:val="false"/>
          <w:sz w:val="28"/>
          <w:szCs w:val="28"/>
        </w:rPr>
        <w:t>UN LAKOTA</w:t>
      </w:r>
    </w:p>
    <w:p>
      <w:pPr>
        <w:pStyle w:val="Normal"/>
        <w:jc w:val="center"/>
        <w:rPr>
          <w:rFonts w:ascii="Verdana" w:hAnsi="Verdana"/>
          <w:b/>
          <w:b/>
          <w:bCs/>
          <w:i w:val="false"/>
          <w:i w:val="false"/>
          <w:iCs w:val="false"/>
          <w:outline w:val="false"/>
          <w:sz w:val="22"/>
          <w:szCs w:val="22"/>
        </w:rPr>
      </w:pPr>
      <w:r>
        <w:rPr>
          <w:rFonts w:ascii="Verdana" w:hAnsi="Verdana"/>
          <w:b/>
          <w:bCs/>
          <w:i w:val="false"/>
          <w:iCs w:val="false"/>
          <w:outline w:val="false"/>
          <w:sz w:val="22"/>
          <w:szCs w:val="22"/>
        </w:rPr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/>
          <w:i/>
          <w:iCs/>
          <w:outline w:val="false"/>
          <w:sz w:val="22"/>
          <w:szCs w:val="22"/>
        </w:rPr>
      </w:pPr>
      <w:r>
        <w:rPr>
          <w:rFonts w:ascii="Verdana" w:hAnsi="Verdana"/>
          <w:b w:val="false"/>
          <w:bCs w:val="false"/>
          <w:i/>
          <w:iCs/>
          <w:outline w:val="false"/>
          <w:sz w:val="24"/>
          <w:szCs w:val="24"/>
        </w:rPr>
        <w:t xml:space="preserve">Una sensibilità e un rispetto che gli derivano dall'essere americano ma anche figlio di immigrati italiani, sacerdote e artista. 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 xml:space="preserve">Nel 1990, trent'anni dopo aver abbandonato gli studi di arte, padre </w:t>
      </w: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 xml:space="preserve">John </w:t>
      </w: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Giuliani (1932-2012) decide di mettere le sue doti espressive a servizio della fede, di dare un volto alle culture indigene che tanto hanno sofferto, riconoscerle pienamente come parte della famiglia di Dio, offrendo uno sguardo ammirato e un sentito tributo alla loro grande spiritualità.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Osservare le sue opere è come entrare in un mondo inaspettato, affascinante in cui i colori, la cura per i particolari e per gli elementi culturali si fondono in un messaggio di rispetto e di fratellanza universale.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 xml:space="preserve">Nei dipinti di p. Giuliani, Gesù e i discepoli hanno i capelli neri, lunghi e lisci, e indossano meravigliosi mantelli con le decorazioni tipiche delle tribù </w:t>
      </w:r>
      <w:r>
        <w:rPr>
          <w:rFonts w:ascii="Verdana" w:hAnsi="Verdana"/>
          <w:b w:val="false"/>
          <w:bCs w:val="false"/>
          <w:i/>
          <w:iCs/>
          <w:outline w:val="false"/>
          <w:sz w:val="24"/>
          <w:szCs w:val="24"/>
        </w:rPr>
        <w:t>navajo.</w:t>
      </w: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 xml:space="preserve"> La Madonna e il Bambino hanno fattezze e costumi </w:t>
      </w:r>
      <w:r>
        <w:rPr>
          <w:rFonts w:ascii="Verdana" w:hAnsi="Verdana"/>
          <w:b w:val="false"/>
          <w:bCs w:val="false"/>
          <w:i/>
          <w:iCs/>
          <w:outline w:val="false"/>
          <w:sz w:val="24"/>
          <w:szCs w:val="24"/>
        </w:rPr>
        <w:t>hopi,</w:t>
      </w: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 xml:space="preserve"> mentre gli angeli e i santi ricordano gli indigeni del Centro e del Sud America. 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 xml:space="preserve">Nella Trinità Gesù appare vestito come un  indiano </w:t>
      </w:r>
      <w:r>
        <w:rPr>
          <w:rFonts w:ascii="Verdana" w:hAnsi="Verdana"/>
          <w:b w:val="false"/>
          <w:bCs w:val="false"/>
          <w:i/>
          <w:iCs/>
          <w:outline w:val="false"/>
          <w:sz w:val="24"/>
          <w:szCs w:val="24"/>
        </w:rPr>
        <w:t>lakota</w:t>
      </w: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 xml:space="preserve"> con la casacca tradizionale della vittoria, sovrastato da un 'aquila con le ali spiegate, lo Spirito Santo e da uno spirito degli antenati con capelli argentei , Dio Padre.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Nelle sue opere, la ricchezza dei simboli si fondono con il contesto culturale dei popoli nativi, a cui riconosce una forte affinità spirituale con il cristianesimo, come la conoscenza del mondo, della natura, di Dio, l'enfasi nell'esserne custodi piuttosto che sfruttatori.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  <w:t>Il bello della fede!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outline w:val="false"/>
          <w:sz w:val="24"/>
          <w:szCs w:val="24"/>
        </w:rPr>
      </w:pPr>
      <w:r>
        <w:rPr>
          <w:rFonts w:ascii="Verdana" w:hAnsi="Verdana"/>
          <w:b w:val="false"/>
          <w:bCs w:val="false"/>
          <w:i w:val="false"/>
          <w:iCs w:val="false"/>
          <w:outline w:val="false"/>
          <w:sz w:val="24"/>
          <w:szCs w:val="24"/>
        </w:rPr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i/>
          <w:i/>
          <w:iCs/>
          <w:outline w:val="false"/>
          <w:sz w:val="24"/>
          <w:szCs w:val="24"/>
        </w:rPr>
      </w:pPr>
      <w:r>
        <w:rPr>
          <w:rFonts w:cs="Verdana" w:ascii="Verdana" w:hAnsi="Verdana"/>
          <w:b/>
          <w:bCs/>
          <w:i w:val="false"/>
          <w:iCs w:val="false"/>
          <w:outline w:val="false"/>
          <w:sz w:val="24"/>
          <w:szCs w:val="24"/>
        </w:rPr>
        <w:t>MondoeMissione - marzo 2022 -</w:t>
      </w:r>
    </w:p>
    <w:p>
      <w:pPr>
        <w:pStyle w:val="Normal"/>
        <w:bidi w:val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  <w:font w:name="Verdan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itolo5">
    <w:name w:val="Heading 5"/>
    <w:basedOn w:val="Titolo"/>
    <w:next w:val="Corpodeltest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z w:val="36"/>
      <w:szCs w:val="36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700</TotalTime>
  <Application>LibreOffice/6.4.6.2$Windows_X86_64 LibreOffice_project/0ce51a4fd21bff07a5c061082cc82c5ed232f115</Application>
  <Pages>3</Pages>
  <Words>776</Words>
  <Characters>4276</Characters>
  <CharactersWithSpaces>5042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2022-04-04T01:28:24Z</dcterms:modified>
  <cp:revision>188</cp:revision>
  <dc:subject/>
  <dc:title/>
</cp:coreProperties>
</file>